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AB9A65" w14:textId="77777777" w:rsidR="00F95D8F" w:rsidRDefault="00F95D8F">
      <w:pPr>
        <w:spacing w:after="240"/>
        <w:rPr>
          <w:b/>
          <w:bCs/>
        </w:rPr>
      </w:pPr>
    </w:p>
    <w:p w14:paraId="544EF619" w14:textId="77777777" w:rsidR="00F95D8F" w:rsidRDefault="00000000">
      <w:pPr>
        <w:spacing w:after="240"/>
      </w:pPr>
      <w:r>
        <w:rPr>
          <w:b/>
          <w:bCs/>
        </w:rPr>
        <w:t>PARA:</w:t>
      </w:r>
      <w:r>
        <w:t xml:space="preserve"> Jose Alexander Perez Ramos</w:t>
      </w:r>
    </w:p>
    <w:p w14:paraId="7443FC03" w14:textId="77777777" w:rsidR="00F95D8F" w:rsidRDefault="00000000">
      <w:pPr>
        <w:spacing w:after="240"/>
      </w:pPr>
      <w:r>
        <w:t>Dirección administrativa y financiera</w:t>
      </w:r>
    </w:p>
    <w:p w14:paraId="6F28049C" w14:textId="77777777" w:rsidR="00F95D8F" w:rsidRDefault="00000000">
      <w:pPr>
        <w:spacing w:after="240"/>
      </w:pPr>
      <w:r>
        <w:t xml:space="preserve">Claudia Milena Rodríguez Gordillo </w:t>
      </w:r>
    </w:p>
    <w:p w14:paraId="6D45C8E2" w14:textId="77777777" w:rsidR="00F95D8F" w:rsidRDefault="00000000">
      <w:pPr>
        <w:spacing w:after="240"/>
      </w:pPr>
      <w:r>
        <w:t>Oficina Asesora de Planeación</w:t>
      </w:r>
    </w:p>
    <w:p w14:paraId="29387BD1" w14:textId="77777777" w:rsidR="00F95D8F" w:rsidRDefault="00000000">
      <w:pPr>
        <w:spacing w:after="240"/>
      </w:pPr>
      <w:r>
        <w:t xml:space="preserve">Karen Adriana Duarte Mayorga </w:t>
      </w:r>
    </w:p>
    <w:p w14:paraId="76F2C22F" w14:textId="77777777" w:rsidR="00F95D8F" w:rsidRDefault="00000000">
      <w:pPr>
        <w:spacing w:after="240"/>
      </w:pPr>
      <w:r>
        <w:t>Dirección Contractual</w:t>
      </w:r>
    </w:p>
    <w:p w14:paraId="5A108D4B" w14:textId="77777777" w:rsidR="00F95D8F" w:rsidRDefault="00F95D8F">
      <w:pPr>
        <w:spacing w:before="240" w:after="240"/>
      </w:pPr>
    </w:p>
    <w:p w14:paraId="480958C7" w14:textId="77777777" w:rsidR="00F95D8F" w:rsidRDefault="00000000">
      <w:pPr>
        <w:spacing w:after="240"/>
      </w:pPr>
      <w:r>
        <w:rPr>
          <w:b/>
          <w:bCs/>
        </w:rPr>
        <w:t>DE:</w:t>
      </w:r>
      <w:r>
        <w:t xml:space="preserve"> Yudy Liceth Cantor Cantor</w:t>
      </w:r>
    </w:p>
    <w:p w14:paraId="299F9EAA" w14:textId="77777777" w:rsidR="00F95D8F" w:rsidRDefault="00000000">
      <w:pPr>
        <w:spacing w:after="240"/>
      </w:pPr>
      <w:r>
        <w:t>Subdirección de Ecourbanismo y Gestión Ambiental Empresarial</w:t>
      </w:r>
    </w:p>
    <w:p w14:paraId="4AC57397" w14:textId="22564385" w:rsidR="002B3A35" w:rsidRPr="00AB6944" w:rsidRDefault="00000000">
      <w:pPr>
        <w:spacing w:before="240" w:after="240"/>
        <w:rPr>
          <w:lang w:val="es-CO"/>
        </w:rPr>
      </w:pPr>
      <w:r>
        <w:rPr>
          <w:b/>
          <w:bCs/>
        </w:rPr>
        <w:t xml:space="preserve">ASUNTO: </w:t>
      </w:r>
      <w:r w:rsidR="002B3A35" w:rsidRPr="00AB6944">
        <w:t xml:space="preserve">Avances </w:t>
      </w:r>
      <w:r w:rsidR="002B3A35" w:rsidRPr="00AB6944">
        <w:t xml:space="preserve">proyecto ATN No. </w:t>
      </w:r>
      <w:r w:rsidR="002B3A35" w:rsidRPr="00AB6944">
        <w:rPr>
          <w:lang w:val="es-CO"/>
        </w:rPr>
        <w:t>ATN/</w:t>
      </w:r>
      <w:proofErr w:type="spellStart"/>
      <w:r w:rsidR="002B3A35" w:rsidRPr="00AB6944">
        <w:rPr>
          <w:lang w:val="es-CO"/>
        </w:rPr>
        <w:t>OC</w:t>
      </w:r>
      <w:proofErr w:type="spellEnd"/>
      <w:r w:rsidR="002B3A35" w:rsidRPr="00AB6944">
        <w:rPr>
          <w:lang w:val="es-CO"/>
        </w:rPr>
        <w:t xml:space="preserve"> 19080-RG</w:t>
      </w:r>
      <w:r w:rsidR="002B3A35" w:rsidRPr="00AB6944">
        <w:rPr>
          <w:lang w:val="es-CO"/>
        </w:rPr>
        <w:t xml:space="preserve"> entre el BID y la SDA, e invitación mesa de trabajo para definir hoja de ruta. </w:t>
      </w:r>
    </w:p>
    <w:p w14:paraId="0DA3538E" w14:textId="77777777" w:rsidR="00F95D8F" w:rsidRDefault="00000000">
      <w:pPr>
        <w:spacing w:before="240" w:after="240"/>
      </w:pPr>
      <w:r>
        <w:t xml:space="preserve">Estimados </w:t>
      </w:r>
      <w:proofErr w:type="gramStart"/>
      <w:r>
        <w:t>Jefes</w:t>
      </w:r>
      <w:proofErr w:type="gramEnd"/>
      <w:r>
        <w:t xml:space="preserve">: </w:t>
      </w:r>
    </w:p>
    <w:p w14:paraId="4DC92176" w14:textId="77777777" w:rsidR="00F95D8F" w:rsidRDefault="00000000">
      <w:pPr>
        <w:spacing w:before="240" w:after="240"/>
        <w:jc w:val="both"/>
      </w:pPr>
      <w:r>
        <w:t xml:space="preserve">En atención al periodo de cierre que se está llevando a cabo para el proyecto de Cooperación Técnica No Rembolsable No. ATN/OC 19080-RG ejecutado por la Subdirección de Ecourbanismo y Gestión Ambiental Empresarial, en este momento estamos atendiendo la Auditoría Financiera y debemos iniciar el trámite al interior de la entidad respecto de la apropiación de los recursos de rendimientos financieros generados por los anticipos desembolsados por parte del BID, así como la devolución de los recursos no ejecutados en el marco del Convenio. Como se les mencionó en una reunión el pasado 10 de febrero de 2026, nuestro compromiso era consultar con el Banco Interamericano de Desarrollo (BID) las inquietudes planteadas por ustedes desde cada una de las áreas. En síntesis, estas son algunas de las respuestas del BID frente a la ruta a seguir para los dos asuntos que nos atañe: </w:t>
      </w:r>
    </w:p>
    <w:p w14:paraId="38159285" w14:textId="07107C92" w:rsidR="00F95D8F" w:rsidRDefault="00000000" w:rsidP="00907136">
      <w:pPr>
        <w:pStyle w:val="ListParagraph"/>
        <w:numPr>
          <w:ilvl w:val="0"/>
          <w:numId w:val="1"/>
        </w:numPr>
        <w:spacing w:before="240" w:after="240"/>
        <w:jc w:val="both"/>
      </w:pPr>
      <w:r w:rsidRPr="00907136">
        <w:rPr>
          <w:b/>
          <w:bCs/>
        </w:rPr>
        <w:t xml:space="preserve">Uso de los rendimientos financieros: </w:t>
      </w:r>
      <w:r>
        <w:t xml:space="preserve">estos recursos se consideran como contrapartida local, están amparados en el acuerdo y cuentan con la figura de "No Objeción" del Banco. Cualquier uso de estos rendimientos debe enmarcarse estrictamente dentro del objeto del proyecto original. Para la ejecución y contratación de estos recursos, se aplicará la normativa local colombiana, como la Ley 80, y no las </w:t>
      </w:r>
      <w:r>
        <w:lastRenderedPageBreak/>
        <w:t xml:space="preserve">políticas de adquisiciones del BID. Sin embargo, el BID enfatiza que al usar los procedimientos nacionales se deben seguir garantizando los principios fundamentales del Banco: competencia, transparencia y valor por dinero. </w:t>
      </w:r>
    </w:p>
    <w:p w14:paraId="4DBB777E" w14:textId="77777777" w:rsidR="00907136" w:rsidRDefault="00907136" w:rsidP="00AB6944">
      <w:pPr>
        <w:pStyle w:val="ListParagraph"/>
        <w:spacing w:before="240" w:after="240"/>
        <w:jc w:val="both"/>
      </w:pPr>
    </w:p>
    <w:p w14:paraId="2EA2CC50" w14:textId="4215251C" w:rsidR="00F95D8F" w:rsidRDefault="00000000" w:rsidP="00AB6944">
      <w:pPr>
        <w:pStyle w:val="ListParagraph"/>
        <w:numPr>
          <w:ilvl w:val="0"/>
          <w:numId w:val="1"/>
        </w:numPr>
        <w:spacing w:before="240" w:after="240"/>
        <w:jc w:val="both"/>
      </w:pPr>
      <w:r w:rsidRPr="00907136">
        <w:rPr>
          <w:b/>
          <w:bCs/>
        </w:rPr>
        <w:t xml:space="preserve">Devolución de recursos desembolsados y no ejecutados: </w:t>
      </w:r>
      <w:r>
        <w:t xml:space="preserve">La devolución de los fondos no ejecutados debe realizarse una vez que la SDA conozca el saldo final de los recursos, esto es cuando la firma auditora haga entrega del Informe Financiero Final. El giro debe realizarse a una cuenta en Nueva York. Para ello, la SDA debe solicitar formalmente al BID las instrucciones bancarias exactas una vez se tenga y conozca el saldo final definitivo. </w:t>
      </w:r>
    </w:p>
    <w:p w14:paraId="3684E44B" w14:textId="77777777" w:rsidR="00F95D8F" w:rsidRDefault="00000000">
      <w:pPr>
        <w:spacing w:before="240" w:after="240"/>
        <w:jc w:val="both"/>
      </w:pPr>
      <w:r>
        <w:t xml:space="preserve">Se anexa el documento de preguntas y respuestas (anexo 1) con Visto Bueno del BID donde se detallan algunas otras inquietudes. </w:t>
      </w:r>
    </w:p>
    <w:p w14:paraId="2B92E0C5" w14:textId="0301A7BB" w:rsidR="00907136" w:rsidRDefault="00907136">
      <w:pPr>
        <w:spacing w:before="240" w:after="240"/>
        <w:jc w:val="both"/>
      </w:pPr>
      <w:r>
        <w:t>Con base en lo anterior, desde el área técnica del proyecto hemos definido:</w:t>
      </w:r>
    </w:p>
    <w:p w14:paraId="6C018DC5" w14:textId="13271D74" w:rsidR="00907136" w:rsidRDefault="00907136" w:rsidP="00907136">
      <w:pPr>
        <w:pStyle w:val="ListParagraph"/>
        <w:numPr>
          <w:ilvl w:val="0"/>
          <w:numId w:val="2"/>
        </w:numPr>
        <w:spacing w:before="240" w:after="240"/>
        <w:jc w:val="both"/>
      </w:pPr>
      <w:r w:rsidRPr="00AB6944">
        <w:rPr>
          <w:b/>
          <w:bCs/>
        </w:rPr>
        <w:t>Uso de rendimientos financieros</w:t>
      </w:r>
      <w:r>
        <w:t xml:space="preserve">: Con base en el informe de Evaluación Final, la recomendación es usar una parte para mejorar la página web de la Plataforma y la otra, para desarrollar los productos del componente 3, ajustados con base en el alcance, tiempo y recursos disponibles. Para ambos, se contempla la contratación de dos profesionales (uno por componente), para lo cual iniciamos la preparación de los estudios previos. El valor de los rendimientos con corte a 31 de marzo de 2026 es de COP 71.129.657,34. </w:t>
      </w:r>
    </w:p>
    <w:p w14:paraId="05DC2142" w14:textId="792E2568" w:rsidR="00907136" w:rsidRDefault="00907136" w:rsidP="00907136">
      <w:pPr>
        <w:pStyle w:val="ListParagraph"/>
        <w:numPr>
          <w:ilvl w:val="0"/>
          <w:numId w:val="2"/>
        </w:numPr>
        <w:spacing w:before="240" w:after="240"/>
        <w:jc w:val="both"/>
      </w:pPr>
      <w:r w:rsidRPr="00AB6944">
        <w:rPr>
          <w:b/>
          <w:bCs/>
        </w:rPr>
        <w:t>Devolución de recursos</w:t>
      </w:r>
      <w:r>
        <w:t xml:space="preserve">: Estamos a la espera del informe de la auditoría externa para proceder con la solicitud formal de la información al BID. El valor estimado de devolución </w:t>
      </w:r>
      <w:r w:rsidR="00ED7CDE">
        <w:t xml:space="preserve">con corte a 31 de marzo de 2026 </w:t>
      </w:r>
      <w:r>
        <w:t xml:space="preserve">es de </w:t>
      </w:r>
      <w:r w:rsidR="00672BA0">
        <w:t xml:space="preserve">USD 41.000. </w:t>
      </w:r>
    </w:p>
    <w:p w14:paraId="0C210702" w14:textId="1CAF5939" w:rsidR="00672BA0" w:rsidRDefault="00672BA0" w:rsidP="00672BA0">
      <w:pPr>
        <w:spacing w:before="240" w:after="240"/>
        <w:jc w:val="both"/>
      </w:pPr>
      <w:r>
        <w:t>Con base en lo anterior, amablemente me permito invitarlos a ustedes junto con sus delegados a una mesa técnica presencial a desarrollarse el próximo lunes 11 de mayo, de 2:</w:t>
      </w:r>
      <w:r w:rsidR="00C8096B">
        <w:t>0</w:t>
      </w:r>
      <w:r>
        <w:t xml:space="preserve">0 pm a </w:t>
      </w:r>
      <w:r w:rsidR="00C8096B">
        <w:t>3</w:t>
      </w:r>
      <w:r>
        <w:t>:00 pm con los siguientes temas:</w:t>
      </w:r>
    </w:p>
    <w:p w14:paraId="38102FBD" w14:textId="74EE4EF7" w:rsidR="00672BA0" w:rsidRDefault="00672BA0" w:rsidP="00AB6944">
      <w:pPr>
        <w:pStyle w:val="ListParagraph"/>
        <w:numPr>
          <w:ilvl w:val="0"/>
          <w:numId w:val="5"/>
        </w:numPr>
        <w:spacing w:before="240" w:after="240"/>
        <w:jc w:val="both"/>
      </w:pPr>
      <w:r>
        <w:t>Presentación de los avances del proyecto “Plataforma Regional de Economía Circular”.</w:t>
      </w:r>
    </w:p>
    <w:p w14:paraId="2DE841D5" w14:textId="6D7AE677" w:rsidR="00672BA0" w:rsidRDefault="00672BA0" w:rsidP="00672BA0">
      <w:pPr>
        <w:pStyle w:val="ListParagraph"/>
        <w:numPr>
          <w:ilvl w:val="0"/>
          <w:numId w:val="5"/>
        </w:numPr>
        <w:spacing w:before="240" w:after="240"/>
        <w:jc w:val="both"/>
      </w:pPr>
      <w:r>
        <w:t>Presentación de los resultados de la Evaluación Final del proyecto</w:t>
      </w:r>
    </w:p>
    <w:p w14:paraId="75AB1667" w14:textId="0CC74CC8" w:rsidR="00672BA0" w:rsidRDefault="00672BA0" w:rsidP="00672BA0">
      <w:pPr>
        <w:pStyle w:val="ListParagraph"/>
        <w:numPr>
          <w:ilvl w:val="0"/>
          <w:numId w:val="5"/>
        </w:numPr>
        <w:spacing w:before="240" w:after="240"/>
        <w:jc w:val="both"/>
      </w:pPr>
      <w:r>
        <w:t xml:space="preserve">Presentación de los avances de la Auditoría Externa del proyecto. </w:t>
      </w:r>
    </w:p>
    <w:p w14:paraId="435CCD38" w14:textId="1D577D24" w:rsidR="00672BA0" w:rsidRDefault="00672BA0" w:rsidP="00672BA0">
      <w:pPr>
        <w:pStyle w:val="ListParagraph"/>
        <w:numPr>
          <w:ilvl w:val="0"/>
          <w:numId w:val="5"/>
        </w:numPr>
        <w:spacing w:before="240" w:after="240"/>
        <w:jc w:val="both"/>
      </w:pPr>
      <w:r>
        <w:t xml:space="preserve">Definición de la ruta para la apropiación de rendimientos financieros. </w:t>
      </w:r>
    </w:p>
    <w:p w14:paraId="5A71533E" w14:textId="226BA36F" w:rsidR="00672BA0" w:rsidRDefault="00672BA0" w:rsidP="00672BA0">
      <w:pPr>
        <w:pStyle w:val="ListParagraph"/>
        <w:numPr>
          <w:ilvl w:val="0"/>
          <w:numId w:val="5"/>
        </w:numPr>
        <w:spacing w:before="240" w:after="240"/>
        <w:jc w:val="both"/>
      </w:pPr>
      <w:r>
        <w:t xml:space="preserve">Definición de la ruta para la devolución de los recursos no ejecutados. </w:t>
      </w:r>
    </w:p>
    <w:p w14:paraId="624CB47B" w14:textId="7328E519" w:rsidR="00672BA0" w:rsidRDefault="00672BA0" w:rsidP="00AB6944">
      <w:pPr>
        <w:pStyle w:val="ListParagraph"/>
        <w:numPr>
          <w:ilvl w:val="0"/>
          <w:numId w:val="5"/>
        </w:numPr>
        <w:spacing w:before="240" w:after="240"/>
        <w:jc w:val="both"/>
      </w:pPr>
      <w:r>
        <w:t>Varios</w:t>
      </w:r>
    </w:p>
    <w:p w14:paraId="79285135" w14:textId="0618FA6C" w:rsidR="00672BA0" w:rsidRDefault="00672BA0" w:rsidP="00672BA0">
      <w:pPr>
        <w:spacing w:before="240" w:after="240"/>
        <w:jc w:val="both"/>
      </w:pPr>
    </w:p>
    <w:p w14:paraId="09422692" w14:textId="32AE73B8" w:rsidR="00F95D8F" w:rsidRDefault="00672BA0">
      <w:pPr>
        <w:spacing w:before="240" w:after="240"/>
        <w:jc w:val="both"/>
      </w:pPr>
      <w:r>
        <w:t xml:space="preserve">Quedo a su confirmación. </w:t>
      </w:r>
    </w:p>
    <w:p w14:paraId="49CE5A92" w14:textId="77777777" w:rsidR="00F95D8F" w:rsidRDefault="00000000">
      <w:pPr>
        <w:spacing w:before="240" w:after="240"/>
        <w:jc w:val="both"/>
      </w:pPr>
      <w:r>
        <w:t xml:space="preserve">Cordialmente, </w:t>
      </w:r>
    </w:p>
    <w:p w14:paraId="0C758156" w14:textId="77777777" w:rsidR="00F95D8F" w:rsidRDefault="00F95D8F">
      <w:pPr>
        <w:spacing w:before="240" w:after="240"/>
        <w:rPr>
          <w:b/>
          <w:bCs/>
        </w:rPr>
      </w:pPr>
    </w:p>
    <w:p w14:paraId="12EF821B" w14:textId="77777777" w:rsidR="00F95D8F" w:rsidRDefault="00000000">
      <w:pPr>
        <w:spacing w:line="240" w:lineRule="auto"/>
      </w:pPr>
      <w:r>
        <w:rPr>
          <w:b/>
          <w:bCs/>
        </w:rPr>
        <w:t>YUDY LICETH CANTOR CANTOR</w:t>
      </w:r>
      <w:r>
        <w:rPr>
          <w:b/>
          <w:bCs/>
        </w:rPr>
        <w:br/>
      </w:r>
      <w:r>
        <w:t xml:space="preserve">Subdirección de Ecourbanismo y Gestión Ambiental Empresarial </w:t>
      </w:r>
      <w:r>
        <w:br/>
        <w:t>Secretaría Distrital de Ambiente</w:t>
      </w:r>
    </w:p>
    <w:p w14:paraId="095F12B0" w14:textId="77777777" w:rsidR="00F95D8F" w:rsidRDefault="00F95D8F"/>
    <w:p w14:paraId="13606400" w14:textId="77777777" w:rsidR="00907136" w:rsidRDefault="00907136"/>
    <w:p w14:paraId="19D4540E" w14:textId="7246AA17" w:rsidR="00907136" w:rsidRPr="00AB6944" w:rsidRDefault="00907136">
      <w:pPr>
        <w:rPr>
          <w:sz w:val="18"/>
          <w:szCs w:val="18"/>
        </w:rPr>
      </w:pPr>
      <w:r w:rsidRPr="00AB6944">
        <w:rPr>
          <w:sz w:val="18"/>
          <w:szCs w:val="18"/>
        </w:rPr>
        <w:t xml:space="preserve">PREPARÓ: </w:t>
      </w:r>
      <w:r w:rsidRPr="00AB6944">
        <w:rPr>
          <w:sz w:val="18"/>
          <w:szCs w:val="18"/>
        </w:rPr>
        <w:tab/>
        <w:t>Johana Romero (SEGAE)</w:t>
      </w:r>
    </w:p>
    <w:p w14:paraId="274B5D01" w14:textId="6DC02590" w:rsidR="00907136" w:rsidRPr="00AB6944" w:rsidRDefault="00907136">
      <w:pPr>
        <w:rPr>
          <w:sz w:val="18"/>
          <w:szCs w:val="18"/>
        </w:rPr>
      </w:pPr>
      <w:r w:rsidRPr="00AB6944">
        <w:rPr>
          <w:sz w:val="18"/>
          <w:szCs w:val="18"/>
        </w:rPr>
        <w:t xml:space="preserve">REVISÓ: </w:t>
      </w:r>
      <w:r w:rsidRPr="00AB6944">
        <w:rPr>
          <w:sz w:val="18"/>
          <w:szCs w:val="18"/>
        </w:rPr>
        <w:tab/>
        <w:t>Kenneth Ochoa (SEGAE)</w:t>
      </w:r>
    </w:p>
    <w:sectPr w:rsidR="00907136" w:rsidRPr="00AB6944">
      <w:headerReference w:type="even" r:id="rId8"/>
      <w:headerReference w:type="default" r:id="rId9"/>
      <w:footerReference w:type="even" r:id="rId10"/>
      <w:footerReference w:type="default" r:id="rId11"/>
      <w:headerReference w:type="first" r:id="rId12"/>
      <w:footerReference w:type="first" r:id="rId13"/>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ADC8C1" w14:textId="77777777" w:rsidR="00CE3721" w:rsidRDefault="00CE3721">
      <w:pPr>
        <w:spacing w:line="240" w:lineRule="auto"/>
      </w:pPr>
      <w:r>
        <w:separator/>
      </w:r>
    </w:p>
  </w:endnote>
  <w:endnote w:type="continuationSeparator" w:id="0">
    <w:p w14:paraId="54466E63" w14:textId="77777777" w:rsidR="00CE3721" w:rsidRDefault="00CE372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5CE23D7-0844-4F89-A375-F8B8D6DCE105}"/>
  </w:font>
  <w:font w:name="Cambria">
    <w:panose1 w:val="02040503050406030204"/>
    <w:charset w:val="00"/>
    <w:family w:val="roman"/>
    <w:pitch w:val="variable"/>
    <w:sig w:usb0="E00006FF" w:usb1="420024FF" w:usb2="02000000" w:usb3="00000000" w:csb0="0000019F" w:csb1="00000000"/>
    <w:embedRegular r:id="rId2" w:fontKey="{1EE56028-DBD0-4253-8C49-901F3A325B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229B5" w14:textId="77777777" w:rsidR="00F95D8F" w:rsidRDefault="00F95D8F">
    <w:pPr>
      <w:pBdr>
        <w:top w:val="nil"/>
        <w:left w:val="nil"/>
        <w:bottom w:val="nil"/>
        <w:right w:val="nil"/>
        <w:between w:val="nil"/>
      </w:pBdr>
      <w:tabs>
        <w:tab w:val="center" w:pos="4419"/>
        <w:tab w:val="right" w:pos="8838"/>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13798" w14:textId="77777777" w:rsidR="00F95D8F" w:rsidRDefault="00F95D8F">
    <w:pPr>
      <w:jc w:val="right"/>
    </w:pPr>
  </w:p>
  <w:tbl>
    <w:tblPr>
      <w:tblStyle w:val="a"/>
      <w:tblW w:w="955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00"/>
      <w:gridCol w:w="5055"/>
    </w:tblGrid>
    <w:tr w:rsidR="00F95D8F" w14:paraId="138DB618" w14:textId="77777777">
      <w:trPr>
        <w:trHeight w:val="1396"/>
      </w:trPr>
      <w:tc>
        <w:tcPr>
          <w:tcW w:w="4500" w:type="dxa"/>
          <w:tcBorders>
            <w:top w:val="nil"/>
            <w:left w:val="nil"/>
            <w:bottom w:val="nil"/>
            <w:right w:val="nil"/>
          </w:tcBorders>
          <w:tcMar>
            <w:top w:w="100" w:type="dxa"/>
            <w:left w:w="100" w:type="dxa"/>
            <w:bottom w:w="100" w:type="dxa"/>
            <w:right w:w="100" w:type="dxa"/>
          </w:tcMar>
        </w:tcPr>
        <w:p w14:paraId="2D4E891A" w14:textId="77777777" w:rsidR="00F95D8F" w:rsidRDefault="00F95D8F">
          <w:pPr>
            <w:keepLines/>
            <w:widowControl w:val="0"/>
            <w:spacing w:line="240" w:lineRule="auto"/>
            <w:rPr>
              <w:sz w:val="20"/>
              <w:szCs w:val="20"/>
            </w:rPr>
          </w:pPr>
        </w:p>
        <w:p w14:paraId="38EE7DD7" w14:textId="77777777" w:rsidR="00F95D8F" w:rsidRDefault="00000000">
          <w:pPr>
            <w:keepLines/>
            <w:widowControl w:val="0"/>
            <w:spacing w:line="240" w:lineRule="auto"/>
            <w:rPr>
              <w:sz w:val="20"/>
              <w:szCs w:val="20"/>
            </w:rPr>
          </w:pPr>
          <w:r>
            <w:rPr>
              <w:sz w:val="20"/>
              <w:szCs w:val="20"/>
            </w:rPr>
            <w:t>Secretaría Distrital de Ambiente</w:t>
          </w:r>
        </w:p>
        <w:p w14:paraId="305E8151" w14:textId="77777777" w:rsidR="00F95D8F" w:rsidRDefault="00000000">
          <w:pPr>
            <w:keepLines/>
            <w:widowControl w:val="0"/>
            <w:spacing w:line="240" w:lineRule="auto"/>
            <w:rPr>
              <w:sz w:val="20"/>
              <w:szCs w:val="20"/>
            </w:rPr>
          </w:pPr>
          <w:r>
            <w:rPr>
              <w:sz w:val="20"/>
              <w:szCs w:val="20"/>
            </w:rPr>
            <w:t>Av. Caracas N</w:t>
          </w:r>
          <w:r>
            <w:rPr>
              <w:sz w:val="20"/>
              <w:szCs w:val="20"/>
              <w:vertAlign w:val="superscript"/>
            </w:rPr>
            <w:t xml:space="preserve">0 </w:t>
          </w:r>
          <w:r>
            <w:rPr>
              <w:sz w:val="20"/>
              <w:szCs w:val="20"/>
            </w:rPr>
            <w:t>54-38</w:t>
          </w:r>
        </w:p>
        <w:p w14:paraId="3493BC98" w14:textId="77777777" w:rsidR="00F95D8F" w:rsidRDefault="00000000">
          <w:pPr>
            <w:keepLines/>
            <w:widowControl w:val="0"/>
            <w:spacing w:line="240" w:lineRule="auto"/>
            <w:rPr>
              <w:sz w:val="20"/>
              <w:szCs w:val="20"/>
            </w:rPr>
          </w:pPr>
          <w:r>
            <w:rPr>
              <w:sz w:val="20"/>
              <w:szCs w:val="20"/>
            </w:rPr>
            <w:t xml:space="preserve">PBX: 3778899                                                           </w:t>
          </w:r>
          <w:hyperlink r:id="rId1">
            <w:r>
              <w:rPr>
                <w:color w:val="1155CC"/>
                <w:sz w:val="20"/>
                <w:szCs w:val="20"/>
                <w:u w:val="single"/>
              </w:rPr>
              <w:t>www.ambientebogota.gov.co</w:t>
            </w:r>
          </w:hyperlink>
        </w:p>
        <w:p w14:paraId="22B6E797" w14:textId="77777777" w:rsidR="00F95D8F" w:rsidRDefault="00000000">
          <w:pPr>
            <w:keepLines/>
            <w:widowControl w:val="0"/>
            <w:spacing w:line="240" w:lineRule="auto"/>
            <w:rPr>
              <w:sz w:val="20"/>
              <w:szCs w:val="20"/>
            </w:rPr>
          </w:pPr>
          <w:r>
            <w:rPr>
              <w:sz w:val="20"/>
              <w:szCs w:val="20"/>
            </w:rPr>
            <w:t>Bogotá D.C. Colombia</w:t>
          </w:r>
        </w:p>
        <w:p w14:paraId="5DDF538F" w14:textId="77777777" w:rsidR="00F95D8F" w:rsidRDefault="00F95D8F">
          <w:pPr>
            <w:widowControl w:val="0"/>
            <w:pBdr>
              <w:top w:val="nil"/>
              <w:left w:val="nil"/>
              <w:bottom w:val="nil"/>
              <w:right w:val="nil"/>
              <w:between w:val="nil"/>
            </w:pBdr>
            <w:spacing w:line="240" w:lineRule="auto"/>
          </w:pPr>
        </w:p>
      </w:tc>
      <w:tc>
        <w:tcPr>
          <w:tcW w:w="5055" w:type="dxa"/>
          <w:tcBorders>
            <w:top w:val="nil"/>
            <w:left w:val="nil"/>
            <w:bottom w:val="nil"/>
            <w:right w:val="nil"/>
          </w:tcBorders>
          <w:tcMar>
            <w:top w:w="100" w:type="dxa"/>
            <w:left w:w="100" w:type="dxa"/>
            <w:bottom w:w="100" w:type="dxa"/>
            <w:right w:w="100" w:type="dxa"/>
          </w:tcMar>
        </w:tcPr>
        <w:p w14:paraId="5B958EA2" w14:textId="77777777" w:rsidR="00F95D8F" w:rsidRDefault="00000000">
          <w:pPr>
            <w:widowControl w:val="0"/>
            <w:pBdr>
              <w:top w:val="nil"/>
              <w:left w:val="nil"/>
              <w:bottom w:val="nil"/>
              <w:right w:val="nil"/>
              <w:between w:val="nil"/>
            </w:pBdr>
            <w:spacing w:line="240" w:lineRule="auto"/>
            <w:jc w:val="right"/>
          </w:pPr>
          <w:r>
            <w:rPr>
              <w:noProof/>
            </w:rPr>
            <w:drawing>
              <wp:inline distT="114300" distB="114300" distL="114300" distR="114300" wp14:anchorId="2CAA7489" wp14:editId="22458323">
                <wp:extent cx="1762125" cy="9525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1762125" cy="952500"/>
                        </a:xfrm>
                        <a:prstGeom prst="rect">
                          <a:avLst/>
                        </a:prstGeom>
                        <a:ln/>
                      </pic:spPr>
                    </pic:pic>
                  </a:graphicData>
                </a:graphic>
              </wp:inline>
            </w:drawing>
          </w:r>
        </w:p>
      </w:tc>
    </w:tr>
  </w:tbl>
  <w:p w14:paraId="3E8F7702" w14:textId="77777777" w:rsidR="00F95D8F" w:rsidRDefault="00F95D8F">
    <w:pP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3FB9D" w14:textId="77777777" w:rsidR="00F95D8F" w:rsidRDefault="00F95D8F">
    <w:pPr>
      <w:pBdr>
        <w:top w:val="nil"/>
        <w:left w:val="nil"/>
        <w:bottom w:val="nil"/>
        <w:right w:val="nil"/>
        <w:between w:val="nil"/>
      </w:pBdr>
      <w:tabs>
        <w:tab w:val="center" w:pos="4419"/>
        <w:tab w:val="right" w:pos="8838"/>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7F488" w14:textId="77777777" w:rsidR="00CE3721" w:rsidRDefault="00CE3721">
      <w:pPr>
        <w:spacing w:line="240" w:lineRule="auto"/>
      </w:pPr>
      <w:r>
        <w:separator/>
      </w:r>
    </w:p>
  </w:footnote>
  <w:footnote w:type="continuationSeparator" w:id="0">
    <w:p w14:paraId="5B02489B" w14:textId="77777777" w:rsidR="00CE3721" w:rsidRDefault="00CE372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1A190" w14:textId="77777777" w:rsidR="00F95D8F" w:rsidRDefault="00F95D8F">
    <w:pPr>
      <w:pBdr>
        <w:top w:val="nil"/>
        <w:left w:val="nil"/>
        <w:bottom w:val="nil"/>
        <w:right w:val="nil"/>
        <w:between w:val="nil"/>
      </w:pBdr>
      <w:tabs>
        <w:tab w:val="center" w:pos="4419"/>
        <w:tab w:val="right" w:pos="8838"/>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5980C" w14:textId="77777777" w:rsidR="00F95D8F" w:rsidRDefault="00000000">
    <w:pPr>
      <w:jc w:val="center"/>
    </w:pPr>
    <w:r>
      <w:rPr>
        <w:noProof/>
      </w:rPr>
      <w:drawing>
        <wp:inline distT="114300" distB="114300" distL="114300" distR="114300" wp14:anchorId="7BF1D35B" wp14:editId="07463D4D">
          <wp:extent cx="2638425" cy="84772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638425" cy="84772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C9370" w14:textId="77777777" w:rsidR="00F95D8F" w:rsidRDefault="00F95D8F">
    <w:pPr>
      <w:pBdr>
        <w:top w:val="nil"/>
        <w:left w:val="nil"/>
        <w:bottom w:val="nil"/>
        <w:right w:val="nil"/>
        <w:between w:val="nil"/>
      </w:pBdr>
      <w:tabs>
        <w:tab w:val="center" w:pos="4419"/>
        <w:tab w:val="right" w:pos="8838"/>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1B4C75"/>
    <w:multiLevelType w:val="hybridMultilevel"/>
    <w:tmpl w:val="BE6A79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38B11165"/>
    <w:multiLevelType w:val="hybridMultilevel"/>
    <w:tmpl w:val="A4D4DD0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416345F2"/>
    <w:multiLevelType w:val="hybridMultilevel"/>
    <w:tmpl w:val="068804D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4D737EDC"/>
    <w:multiLevelType w:val="hybridMultilevel"/>
    <w:tmpl w:val="DB4210A8"/>
    <w:lvl w:ilvl="0" w:tplc="011E1AF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D475828"/>
    <w:multiLevelType w:val="hybridMultilevel"/>
    <w:tmpl w:val="1E120DC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105682692">
    <w:abstractNumId w:val="3"/>
  </w:num>
  <w:num w:numId="2" w16cid:durableId="713433987">
    <w:abstractNumId w:val="2"/>
  </w:num>
  <w:num w:numId="3" w16cid:durableId="76027620">
    <w:abstractNumId w:val="1"/>
  </w:num>
  <w:num w:numId="4" w16cid:durableId="963537118">
    <w:abstractNumId w:val="0"/>
  </w:num>
  <w:num w:numId="5" w16cid:durableId="35469524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5D8F"/>
    <w:rsid w:val="00235FE8"/>
    <w:rsid w:val="002B3A35"/>
    <w:rsid w:val="00672BA0"/>
    <w:rsid w:val="007752C9"/>
    <w:rsid w:val="007F4E39"/>
    <w:rsid w:val="00907136"/>
    <w:rsid w:val="00AB6944"/>
    <w:rsid w:val="00C8096B"/>
    <w:rsid w:val="00CE3721"/>
    <w:rsid w:val="00ED7CDE"/>
    <w:rsid w:val="00F95D8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5EF9F8"/>
  <w15:docId w15:val="{82F4C5C7-FE17-4525-8770-26C65BCC2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Revision">
    <w:name w:val="Revision"/>
    <w:hidden/>
    <w:uiPriority w:val="99"/>
    <w:semiHidden/>
    <w:rsid w:val="00907136"/>
    <w:pPr>
      <w:spacing w:line="240" w:lineRule="auto"/>
    </w:pPr>
  </w:style>
  <w:style w:type="paragraph" w:styleId="ListParagraph">
    <w:name w:val="List Paragraph"/>
    <w:basedOn w:val="Normal"/>
    <w:uiPriority w:val="34"/>
    <w:qFormat/>
    <w:rsid w:val="0090713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www.ambientebogota.gov.co"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DTw6WRqxS5RlR+75+zLF+N8rtw==">CgMxLjA4AHIhMTJ1aUxZUDdKNzhVUDZIMEhzZWFVVl9yNkZhVFk4WG1J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636</Words>
  <Characters>3499</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Kenneth Ochoa</dc:creator>
  <cp:lastModifiedBy>Kenneth Ochoa</cp:lastModifiedBy>
  <cp:revision>3</cp:revision>
  <dcterms:created xsi:type="dcterms:W3CDTF">2026-05-04T21:13:00Z</dcterms:created>
  <dcterms:modified xsi:type="dcterms:W3CDTF">2026-05-04T21:13:00Z</dcterms:modified>
</cp:coreProperties>
</file>